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7"/>
              <w:jc w:val="center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переименовании муниципального казенного учреждения «</w:t>
            </w:r>
            <w:r>
              <w:rPr>
                <w:b w:val="0"/>
                <w:bCs w:val="0"/>
                <w:sz w:val="24"/>
                <w:szCs w:val="24"/>
              </w:rPr>
              <w:t xml:space="preserve">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 и утверждении устава муниципального казенного учреждения «Центр тестирования комплекса </w:t>
            </w:r>
            <w:r>
              <w:rPr>
                <w:b w:val="0"/>
                <w:bCs w:val="0"/>
                <w:sz w:val="24"/>
                <w:szCs w:val="24"/>
              </w:rPr>
              <w:t xml:space="preserve">«Г</w:t>
            </w:r>
            <w:r>
              <w:rPr>
                <w:b w:val="0"/>
                <w:bCs w:val="0"/>
                <w:sz w:val="24"/>
                <w:szCs w:val="24"/>
              </w:rPr>
              <w:t xml:space="preserve">отов к труду и обороне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у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ц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л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ь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г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р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у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г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37"/>
              <w:jc w:val="both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</w:t>
            </w:r>
            <w:r>
              <w:rPr>
                <w:b w:val="0"/>
                <w:bCs w:val="0"/>
                <w:sz w:val="22"/>
                <w:szCs w:val="22"/>
              </w:rPr>
              <w:t xml:space="preserve">тестирования комплекса </w:t>
            </w:r>
            <w:r>
              <w:rPr>
                <w:b w:val="0"/>
                <w:bCs w:val="0"/>
                <w:sz w:val="22"/>
                <w:szCs w:val="22"/>
              </w:rPr>
              <w:t xml:space="preserve">«Г</w:t>
            </w:r>
            <w:r>
              <w:rPr>
                <w:b w:val="0"/>
                <w:bCs w:val="0"/>
                <w:sz w:val="22"/>
                <w:szCs w:val="22"/>
              </w:rPr>
              <w:t xml:space="preserve">отов к труду и обороне</w:t>
            </w:r>
            <w:r>
              <w:rPr>
                <w:b w:val="0"/>
                <w:bCs w:val="0"/>
                <w:sz w:val="22"/>
                <w:szCs w:val="22"/>
              </w:rPr>
              <w:t xml:space="preserve">»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 приведения действующих нормативных правовых актов в соответствие с действующим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 муниципальными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rPr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2020-06-04T07:53:00Z</dcterms:created>
  <dcterms:modified xsi:type="dcterms:W3CDTF">2025-11-20T07:04:13Z</dcterms:modified>
</cp:coreProperties>
</file>